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jc w:val="center"/>
        <w:rPr>
          <w:rFonts w:hint="eastAsia" w:ascii="微软雅黑" w:hAnsi="微软雅黑" w:eastAsia="微软雅黑" w:cs="微软雅黑"/>
          <w:b/>
          <w:szCs w:val="28"/>
          <w:lang w:val="en-US" w:eastAsia="zh-CN"/>
        </w:rPr>
      </w:pPr>
      <w:bookmarkStart w:id="0" w:name="_Toc4206"/>
      <w:bookmarkStart w:id="1" w:name="_Toc12493"/>
      <w:r>
        <w:rPr>
          <w:rFonts w:hint="eastAsia" w:ascii="微软雅黑" w:hAnsi="微软雅黑" w:eastAsia="微软雅黑" w:cs="微软雅黑"/>
          <w:b/>
          <w:bCs/>
          <w:sz w:val="28"/>
          <w:szCs w:val="24"/>
          <w:lang w:val="en-US" w:eastAsia="zh-CN"/>
        </w:rPr>
        <w:t>学生</w:t>
      </w:r>
      <w:bookmarkStart w:id="6" w:name="_GoBack"/>
      <w:bookmarkEnd w:id="6"/>
      <w:r>
        <w:rPr>
          <w:rFonts w:hint="eastAsia" w:ascii="微软雅黑" w:hAnsi="微软雅黑" w:eastAsia="微软雅黑" w:cs="微软雅黑"/>
          <w:b/>
          <w:bCs/>
          <w:sz w:val="28"/>
          <w:szCs w:val="24"/>
          <w:lang w:val="en-US" w:eastAsia="zh-CN"/>
        </w:rPr>
        <w:t>评价操作指引（学院）</w:t>
      </w:r>
    </w:p>
    <w:p>
      <w:pPr>
        <w:pStyle w:val="2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leftChars="0" w:firstLine="0" w:firstLineChars="0"/>
        <w:textAlignment w:val="auto"/>
        <w:rPr>
          <w:rFonts w:hint="eastAsia" w:ascii="Times New Roman" w:hAnsi="Times New Roman"/>
          <w:b/>
          <w:sz w:val="30"/>
          <w:szCs w:val="30"/>
        </w:rPr>
      </w:pPr>
      <w:r>
        <w:rPr>
          <w:rFonts w:hint="eastAsia" w:ascii="Times New Roman" w:hAnsi="Times New Roman"/>
          <w:b/>
          <w:sz w:val="30"/>
          <w:szCs w:val="30"/>
        </w:rPr>
        <w:t>登录智慧校园</w:t>
      </w:r>
      <w:bookmarkEnd w:id="0"/>
      <w:bookmarkEnd w:id="1"/>
      <w:bookmarkStart w:id="2" w:name="_Toc29469"/>
    </w:p>
    <w:p>
      <w:pPr>
        <w:pStyle w:val="3"/>
        <w:numPr>
          <w:ilvl w:val="1"/>
          <w:numId w:val="0"/>
        </w:numPr>
        <w:bidi w:val="0"/>
        <w:ind w:leftChars="0"/>
        <w:rPr>
          <w:rFonts w:hint="eastAsia"/>
          <w:lang w:val="en-US" w:eastAsia="zh-CN"/>
        </w:rPr>
      </w:pPr>
      <w:bookmarkStart w:id="3" w:name="_Toc3054"/>
      <w:r>
        <w:rPr>
          <w:rFonts w:hint="eastAsia"/>
          <w:lang w:val="en-US" w:eastAsia="zh-CN"/>
        </w:rPr>
        <w:t>1.1</w:t>
      </w:r>
      <w:r>
        <w:rPr>
          <w:rFonts w:hint="eastAsia"/>
        </w:rPr>
        <w:t>访问地址</w:t>
      </w:r>
      <w:bookmarkEnd w:id="2"/>
      <w:bookmarkEnd w:id="3"/>
    </w:p>
    <w:p>
      <w:pPr>
        <w:ind w:left="0" w:leftChars="0"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打开浏览器，在浏览器地址栏中输入：</w:t>
      </w: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"https://szgcyth.gdufe.edu.cn"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Style w:val="6"/>
          <w:rFonts w:hint="eastAsia" w:ascii="宋体" w:hAnsi="宋体" w:eastAsia="宋体" w:cs="宋体"/>
          <w:sz w:val="24"/>
          <w:szCs w:val="24"/>
        </w:rPr>
        <w:t>https://szgcyth.gdufe.edu.cn</w:t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</w:p>
    <w:p>
      <w:pPr>
        <w:ind w:left="0" w:leftChars="0" w:firstLine="480" w:firstLineChars="200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方式1：通过登录融合门户，在“应用中心”找到“新研究生系统”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68595" cy="2656840"/>
            <wp:effectExtent l="0" t="0" r="1905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5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方式2：进入学校主页——教育教学——研究生教育——快速通道——研究生系统管理端。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2877185" cy="1021080"/>
            <wp:effectExtent l="0" t="0" r="5715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77185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6690" cy="2452370"/>
            <wp:effectExtent l="0" t="0" r="3810" b="11430"/>
            <wp:docPr id="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0"/>
        </w:numPr>
        <w:bidi w:val="0"/>
        <w:ind w:leftChars="0"/>
      </w:pPr>
      <w:bookmarkStart w:id="4" w:name="_Toc11796"/>
      <w:bookmarkStart w:id="5" w:name="_Toc7261"/>
      <w:r>
        <w:rPr>
          <w:rFonts w:hint="eastAsia"/>
          <w:lang w:val="en-US" w:eastAsia="zh-CN"/>
        </w:rPr>
        <w:t>1.2网页端</w:t>
      </w:r>
      <w:r>
        <w:rPr>
          <w:rFonts w:hint="eastAsia"/>
        </w:rPr>
        <w:t>功能入口</w:t>
      </w:r>
      <w:bookmarkEnd w:id="4"/>
      <w:bookmarkEnd w:id="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登录系统后可从以下任意路径进入所需菜单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方式一：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</w:t>
      </w:r>
      <w:r>
        <w:rPr>
          <w:rFonts w:hint="eastAsia" w:ascii="宋体" w:hAnsi="宋体" w:cs="宋体"/>
          <w:sz w:val="24"/>
          <w:szCs w:val="24"/>
          <w:lang w:val="en-US" w:eastAsia="zh-CN"/>
        </w:rPr>
        <w:t>首页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搜索框中输入“</w:t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学生评价填报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”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2）方式二：个人中心-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-&gt;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应用服务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--&gt;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研究生管理系统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--&gt;</w:t>
      </w:r>
      <w:r>
        <w:rPr>
          <w:rFonts w:hint="eastAsia" w:ascii="宋体" w:hAnsi="宋体" w:cs="宋体"/>
          <w:sz w:val="24"/>
          <w:szCs w:val="24"/>
          <w:lang w:val="en-US" w:eastAsia="zh-CN"/>
        </w:rPr>
        <w:t>教学评价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--&gt;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学生评价填报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135" cy="2816225"/>
            <wp:effectExtent l="0" t="0" r="12065" b="3175"/>
            <wp:docPr id="5" name="图片 5" descr="个人中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个人中心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1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Chars="0"/>
        <w:textAlignment w:val="auto"/>
        <w:rPr>
          <w:rFonts w:hint="default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2.学生评价监控</w:t>
      </w:r>
    </w:p>
    <w:p>
      <w:pPr>
        <w:numPr>
          <w:numId w:val="0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1）按班级监控：用于按班级监控未评价的学生。</w:t>
      </w:r>
    </w:p>
    <w:p>
      <w:pPr>
        <w:bidi w:val="0"/>
      </w:pPr>
      <w:r>
        <w:drawing>
          <wp:inline distT="0" distB="0" distL="114300" distR="114300">
            <wp:extent cx="5269230" cy="2603500"/>
            <wp:effectExtent l="0" t="0" r="3810" b="254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bidi w:val="0"/>
        <w:spacing w:line="360" w:lineRule="auto"/>
        <w:jc w:val="both"/>
        <w:rPr>
          <w:rFonts w:hint="eastAsia"/>
          <w:lang w:val="en-US" w:eastAsia="zh-CN"/>
        </w:rPr>
      </w:pPr>
    </w:p>
    <w:p>
      <w:pPr>
        <w:widowControl w:val="0"/>
        <w:numPr>
          <w:numId w:val="0"/>
        </w:numPr>
        <w:bidi w:val="0"/>
        <w:spacing w:line="360" w:lineRule="auto"/>
        <w:jc w:val="both"/>
        <w:rPr>
          <w:rFonts w:hint="eastAsia"/>
          <w:lang w:val="en-US" w:eastAsia="zh-CN"/>
        </w:rPr>
      </w:pPr>
    </w:p>
    <w:p>
      <w:pPr>
        <w:widowControl w:val="0"/>
        <w:numPr>
          <w:numId w:val="0"/>
        </w:numPr>
        <w:bidi w:val="0"/>
        <w:spacing w:line="360" w:lineRule="auto"/>
        <w:jc w:val="both"/>
        <w:rPr>
          <w:rFonts w:hint="eastAsia"/>
          <w:lang w:val="en-US" w:eastAsia="zh-CN"/>
        </w:rPr>
      </w:pPr>
    </w:p>
    <w:p>
      <w:pPr>
        <w:widowControl w:val="0"/>
        <w:numPr>
          <w:numId w:val="0"/>
        </w:numPr>
        <w:bidi w:val="0"/>
        <w:spacing w:line="360" w:lineRule="auto"/>
        <w:jc w:val="both"/>
      </w:pPr>
      <w:r>
        <w:rPr>
          <w:rFonts w:hint="eastAsia"/>
          <w:lang w:val="en-US" w:eastAsia="zh-CN"/>
        </w:rPr>
        <w:t>2）按学生监控：用于监控学生未评价的课程。</w:t>
      </w:r>
      <w:r>
        <w:rPr>
          <w:rFonts w:hint="eastAsia"/>
          <w:b/>
          <w:bCs/>
          <w:lang w:val="en-US" w:eastAsia="zh-CN"/>
        </w:rPr>
        <w:br w:type="textWrapping"/>
      </w:r>
      <w:r>
        <w:drawing>
          <wp:inline distT="0" distB="0" distL="114300" distR="114300">
            <wp:extent cx="5267325" cy="1932940"/>
            <wp:effectExtent l="0" t="0" r="5715" b="254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3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3）按参评课程监控：用于监控学生应评课程评价完成情况，对于不需要评价的学生可以点击“设为参评”、“设为不参评”设置学生的参评状态</w:t>
      </w:r>
    </w:p>
    <w:p>
      <w:pPr>
        <w:numPr>
          <w:numId w:val="0"/>
        </w:numPr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3515" cy="2042795"/>
            <wp:effectExtent l="0" t="0" r="9525" b="1460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04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Calibri Light">
    <w:panose1 w:val="020F0302020204030204"/>
    <w:charset w:val="00"/>
    <w:family w:val="auto"/>
    <w:pitch w:val="default"/>
    <w:sig w:usb0="E4002EFF" w:usb1="C2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279180A"/>
    <w:multiLevelType w:val="multilevel"/>
    <w:tmpl w:val="3279180A"/>
    <w:lvl w:ilvl="0" w:tentative="0">
      <w:start w:val="3"/>
      <w:numFmt w:val="decimal"/>
      <w:lvlText w:val="%1"/>
      <w:lvlJc w:val="left"/>
      <w:pPr>
        <w:ind w:left="0" w:firstLine="0"/>
      </w:pPr>
      <w:rPr>
        <w:rFonts w:hint="default" w:ascii="宋体" w:hAnsi="宋体" w:eastAsia="宋体" w:cs="宋体"/>
        <w:color w:val="auto"/>
      </w:rPr>
    </w:lvl>
    <w:lvl w:ilvl="1" w:tentative="0">
      <w:start w:val="1"/>
      <w:numFmt w:val="decimal"/>
      <w:pStyle w:val="3"/>
      <w:lvlText w:val="%1.%2"/>
      <w:lvlJc w:val="left"/>
      <w:pPr>
        <w:ind w:left="0" w:firstLine="0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0" w:firstLine="0"/>
      </w:pPr>
      <w:rPr>
        <w:rFonts w:hint="eastAsia"/>
      </w:rPr>
    </w:lvl>
    <w:lvl w:ilvl="3" w:tentative="0">
      <w:start w:val="1"/>
      <w:numFmt w:val="decimal"/>
      <w:suff w:val="nothing"/>
      <w:lvlText w:val="%1.%2.%3.%4"/>
      <w:lvlJc w:val="left"/>
      <w:pPr>
        <w:ind w:left="0" w:firstLine="0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">
    <w:nsid w:val="586A5B60"/>
    <w:multiLevelType w:val="singleLevel"/>
    <w:tmpl w:val="586A5B60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73F4CC2C"/>
    <w:multiLevelType w:val="singleLevel"/>
    <w:tmpl w:val="73F4CC2C"/>
    <w:lvl w:ilvl="0" w:tentative="0">
      <w:start w:val="1"/>
      <w:numFmt w:val="decimal"/>
      <w:suff w:val="nothing"/>
      <w:lvlText w:val="%1）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liOWM2MzNlZjk4NTNhNjlmZThmZjcxNGE1Y2Q0ZmIifQ=="/>
  </w:docVars>
  <w:rsids>
    <w:rsidRoot w:val="126826D2"/>
    <w:rsid w:val="0B5A4679"/>
    <w:rsid w:val="0C3A0A84"/>
    <w:rsid w:val="126826D2"/>
    <w:rsid w:val="16534086"/>
    <w:rsid w:val="17283764"/>
    <w:rsid w:val="172F2D8B"/>
    <w:rsid w:val="20AA51EA"/>
    <w:rsid w:val="21F901D7"/>
    <w:rsid w:val="24DB0068"/>
    <w:rsid w:val="253F05F7"/>
    <w:rsid w:val="293B5025"/>
    <w:rsid w:val="2D111595"/>
    <w:rsid w:val="30DA11D4"/>
    <w:rsid w:val="36F94A69"/>
    <w:rsid w:val="37DB6F3A"/>
    <w:rsid w:val="3B9F388B"/>
    <w:rsid w:val="3CE77152"/>
    <w:rsid w:val="3F1D78CB"/>
    <w:rsid w:val="430608E0"/>
    <w:rsid w:val="44BC2C73"/>
    <w:rsid w:val="45F97EF6"/>
    <w:rsid w:val="4E217FEA"/>
    <w:rsid w:val="4FDA3A86"/>
    <w:rsid w:val="520D0FB1"/>
    <w:rsid w:val="534C5B09"/>
    <w:rsid w:val="57064368"/>
    <w:rsid w:val="5D0F1D0C"/>
    <w:rsid w:val="5D4D55D2"/>
    <w:rsid w:val="5D69550A"/>
    <w:rsid w:val="5E0C0E0B"/>
    <w:rsid w:val="5ECF7A50"/>
    <w:rsid w:val="66A5036A"/>
    <w:rsid w:val="66A756E2"/>
    <w:rsid w:val="696A62C2"/>
    <w:rsid w:val="701F6FB4"/>
    <w:rsid w:val="7662101C"/>
    <w:rsid w:val="79DB15D9"/>
    <w:rsid w:val="7BF00D77"/>
    <w:rsid w:val="7E774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pacing w:line="360" w:lineRule="auto"/>
      <w:jc w:val="both"/>
    </w:pPr>
    <w:rPr>
      <w:rFonts w:ascii="Times New Roman" w:hAnsi="Times New Roman" w:eastAsia="宋体" w:cs="Times New Roman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rFonts w:ascii="Times New Roman" w:hAnsi="Times New Roman"/>
      <w:b/>
      <w:kern w:val="44"/>
    </w:rPr>
  </w:style>
  <w:style w:type="paragraph" w:styleId="3">
    <w:name w:val="heading 2"/>
    <w:basedOn w:val="1"/>
    <w:next w:val="1"/>
    <w:autoRedefine/>
    <w:unhideWhenUsed/>
    <w:qFormat/>
    <w:uiPriority w:val="9"/>
    <w:pPr>
      <w:keepNext/>
      <w:keepLines/>
      <w:numPr>
        <w:ilvl w:val="1"/>
        <w:numId w:val="1"/>
      </w:numPr>
      <w:spacing w:line="360" w:lineRule="auto"/>
      <w:outlineLvl w:val="1"/>
    </w:pPr>
    <w:rPr>
      <w:rFonts w:ascii="宋体" w:hAnsi="宋体" w:cstheme="majorBidi"/>
      <w:b/>
      <w:bCs/>
      <w:sz w:val="24"/>
      <w:szCs w:val="32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Hyperlink"/>
    <w:basedOn w:val="5"/>
    <w:autoRedefine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26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2023-10-26T08:27:00Z</dcterms:created>
  <dc:creator>贺乾丰</dc:creator>
  <cp:lastModifiedBy>贺乾丰</cp:lastModifiedBy>
  <dcterms:modified xsi:type="dcterms:W3CDTF">2024-05-14T02:39:39Z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0212F35F5EE24AE8A85CAC02724A9BDC_11</vt:lpwstr>
  </property>
</Properties>
</file>